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rPr>
          <w:rFonts w:hint="eastAsia" w:ascii="仿宋_GB2312" w:eastAsia="仿宋_GB2312"/>
          <w:color w:val="333333"/>
          <w:sz w:val="32"/>
          <w:szCs w:val="32"/>
        </w:rPr>
      </w:pPr>
      <w:r>
        <w:rPr>
          <w:rFonts w:hint="eastAsia" w:ascii="仿宋_GB2312" w:eastAsia="仿宋_GB2312"/>
          <w:color w:val="333333"/>
          <w:sz w:val="32"/>
          <w:szCs w:val="32"/>
        </w:rPr>
        <w:t>附件3</w:t>
      </w:r>
    </w:p>
    <w:p>
      <w:pPr>
        <w:widowControl/>
        <w:shd w:val="clear" w:color="auto" w:fill="FFFFFF"/>
        <w:spacing w:line="560" w:lineRule="exact"/>
        <w:jc w:val="center"/>
        <w:rPr>
          <w:rFonts w:hint="eastAsia" w:ascii="方正小标宋简体" w:hAnsi="方正小标宋简体" w:eastAsia="方正小标宋简体" w:cs="方正小标宋简体"/>
          <w:color w:val="333333"/>
          <w:kern w:val="0"/>
          <w:sz w:val="44"/>
          <w:szCs w:val="44"/>
        </w:rPr>
      </w:pPr>
    </w:p>
    <w:p>
      <w:pPr>
        <w:widowControl/>
        <w:shd w:val="clear" w:color="auto" w:fill="FFFFFF"/>
        <w:spacing w:line="560" w:lineRule="exact"/>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2023年灵武市义务教育阶段中小学片区划分</w:t>
      </w:r>
    </w:p>
    <w:p>
      <w:pPr>
        <w:widowControl/>
        <w:shd w:val="clear" w:color="auto" w:fill="FFFFFF"/>
        <w:spacing w:line="560" w:lineRule="exact"/>
        <w:ind w:firstLine="640" w:firstLineChars="200"/>
        <w:rPr>
          <w:rFonts w:hint="eastAsia" w:ascii="黑体" w:hAnsi="宋体" w:eastAsia="黑体" w:cs="宋体"/>
          <w:bCs/>
          <w:kern w:val="0"/>
          <w:sz w:val="32"/>
          <w:szCs w:val="32"/>
        </w:rPr>
      </w:pPr>
    </w:p>
    <w:p>
      <w:pPr>
        <w:widowControl/>
        <w:shd w:val="clear" w:color="auto" w:fill="FFFFFF"/>
        <w:spacing w:line="560" w:lineRule="exact"/>
        <w:ind w:firstLine="640" w:firstLineChars="200"/>
        <w:rPr>
          <w:rFonts w:hint="eastAsia" w:ascii="黑体" w:hAnsi="宋体" w:eastAsia="黑体" w:cs="宋体"/>
          <w:bCs/>
          <w:kern w:val="0"/>
          <w:sz w:val="32"/>
          <w:szCs w:val="32"/>
        </w:rPr>
      </w:pPr>
      <w:r>
        <w:rPr>
          <w:rFonts w:hint="eastAsia" w:ascii="黑体" w:hAnsi="宋体" w:eastAsia="黑体" w:cs="宋体"/>
          <w:bCs/>
          <w:kern w:val="0"/>
          <w:sz w:val="32"/>
          <w:szCs w:val="32"/>
        </w:rPr>
        <w:t>一、城区小学片区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1.市一小片区</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招收居住在中兴街过西平路接富兴街以东，灵州大道以南，柳树巷以北，育才街过健康路接灵白街以西等区域。</w:t>
      </w:r>
      <w:r>
        <w:rPr>
          <w:rFonts w:hint="eastAsia" w:ascii="仿宋_GB2312" w:eastAsia="仿宋_GB2312"/>
          <w:sz w:val="32"/>
          <w:szCs w:val="32"/>
        </w:rPr>
        <w:t>（包括灵州华府ABC区、公路苑、中心花园、公安局小区、枣园湖畔AB区等小区）的适龄儿童。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2.市二小片区</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（1）招收居住在兴唐街以东，利民路以南，中兴街以西，南薰路以北等区域内的适龄儿童（包括月安小区、湖滨花园、西子小区、宏泰小区、西苑小区、老二中小区、湖景等小区）。</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招收居住在中兴街以东，西平路过富兴街接柳树巷以南，育才街以西，湖滨巷以北区域内的（包括党校家属楼、东升小区、健康小区、唐城商业街住宅楼、花雨湖滨AB区、梅花苑等小区）适龄儿童。接收全市调剂学生。</w:t>
      </w:r>
    </w:p>
    <w:p>
      <w:pPr>
        <w:pStyle w:val="5"/>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3.市三小片区</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（1）嘉源街以东，灵州大道以北，大河路以南，东盛街以西区域内的适龄儿童（包括龙辰华庭、绿苑新村、明珠苑ABC区、灵药新村、二建新村、阳光城、林秀苑AB区 、枣香苑、广电局和扶贫办家属院等小区）。</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（2）招收东山坡至水泥厂307国道沿线的适龄儿童。招收全市调剂学生。</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4.市四小片区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招收居住在嘉源街以东，灵州大道以南，中兴街过利民路接兴唐街以西，西平路以北区域内的适龄儿童（包括福林小区、欧景豪庭、佳苑小区、利民小区、城市花园、鑫祥花园、西湖名邸A区等小区）。</w:t>
      </w:r>
    </w:p>
    <w:p>
      <w:pPr>
        <w:pStyle w:val="5"/>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5.市五小片区</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（1）西昌街以东，富兴街以西 南熏路以南，兴灵路以北区域内的适龄儿童（包括龙凤家苑、上元名城A区，南苑AB区，鑫盛绒都、西湖人家、家和园A区、同利家园等小区）。</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⑵西昌街以西，西平路以北，211国道以东，朔方路以南区域内的适龄儿童（包括熙水台小区、宝塔绿地名邸、盛世灵州、盛世家园小区及周边新建小区等）。 </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（3）朔方路接344国道以东，西昌街以西，灵州大道以北区域内的适龄儿童可就近选择到市五小或农场小学就读（包括盛世学府，盛世家园、绿地宝塔小区等）。</w:t>
      </w: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6.市六小片区</w:t>
      </w:r>
    </w:p>
    <w:p>
      <w:pPr>
        <w:pStyle w:val="9"/>
        <w:spacing w:line="560" w:lineRule="exact"/>
        <w:ind w:firstLine="640" w:firstLineChars="200"/>
        <w:rPr>
          <w:rFonts w:ascii="仿宋" w:hAnsi="仿宋" w:eastAsia="仿宋"/>
          <w:sz w:val="32"/>
          <w:szCs w:val="32"/>
        </w:rPr>
      </w:pPr>
      <w:r>
        <w:rPr>
          <w:rFonts w:hint="eastAsia" w:ascii="仿宋" w:hAnsi="仿宋" w:eastAsia="仿宋"/>
          <w:sz w:val="32"/>
          <w:szCs w:val="32"/>
        </w:rPr>
        <w:t>招收育才街以东，健康路过东盛街接西平路以南，湖滨巷（路）过东盛街接南薰路延伸段以北，秦渠以西区域（包括芙蓉苑一期，花雨湖滨Ｃ区、花雨湖滨D区、芙蓉家园、东润豪庭、尚景名苑小区、梨花苑Ｂ区等）</w:t>
      </w:r>
      <w:r>
        <w:rPr>
          <w:rFonts w:ascii="仿宋" w:hAnsi="仿宋" w:eastAsia="仿宋"/>
          <w:sz w:val="32"/>
          <w:szCs w:val="32"/>
        </w:rPr>
        <w:t>及周边小区的适龄儿童</w:t>
      </w:r>
      <w:r>
        <w:rPr>
          <w:rFonts w:hint="eastAsia" w:ascii="仿宋" w:hAnsi="仿宋" w:eastAsia="仿宋"/>
          <w:sz w:val="32"/>
          <w:szCs w:val="32"/>
        </w:rPr>
        <w:t>。</w:t>
      </w:r>
    </w:p>
    <w:p>
      <w:pPr>
        <w:pStyle w:val="5"/>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7.市七小片区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招收居住在西昌街以东，嘉源街以西，南薰路以北，西平路以南区域内的适龄儿童（包括上元名B区、西湖名都、壹号公馆、龙辰宜合苑一期等小区）。</w:t>
      </w:r>
    </w:p>
    <w:p>
      <w:pPr>
        <w:widowControl/>
        <w:shd w:val="clear" w:color="auto" w:fill="FFFFFF"/>
        <w:spacing w:line="560" w:lineRule="exact"/>
        <w:ind w:firstLine="643"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8.市八小片区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招收居住在西昌街以东，嘉源街以西，西平路以北，朔方路以南区域内的适龄儿童。含水木灵州一至八期（和谐苑、木华苑、水清苑、灵馨苑、龙翔苑、尚品苑、绿洲苑等、包括居安小区、烟草小区、龙辰宜合苑二期、印象灵州）及周边小区的适龄儿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9.市十小片区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招收居住在湖滨巷过富兴街过中兴街延伸至西湖以南区域，兴业路以北，中兴街过南薰路接富兴街以东，</w:t>
      </w:r>
      <w:r>
        <w:rPr>
          <w:rFonts w:hint="eastAsia" w:ascii="仿宋_GB2312" w:eastAsia="仿宋_GB2312"/>
          <w:sz w:val="32"/>
          <w:szCs w:val="32"/>
          <w:u w:val="single"/>
        </w:rPr>
        <w:t>灵白街</w:t>
      </w:r>
      <w:r>
        <w:rPr>
          <w:rFonts w:hint="eastAsia" w:ascii="仿宋_GB2312" w:eastAsia="仿宋_GB2312"/>
          <w:sz w:val="32"/>
          <w:szCs w:val="32"/>
        </w:rPr>
        <w:t>以西等区域内的适龄儿童（包括园丁小区、芙蓉苑二期、嘉宁小区、家和苑B区、玉湖林湾，兴达悦府、唐城苑等小区）。</w:t>
      </w:r>
    </w:p>
    <w:p>
      <w:pPr>
        <w:pStyle w:val="9"/>
        <w:spacing w:line="560" w:lineRule="exact"/>
        <w:ind w:firstLine="643" w:firstLineChars="200"/>
        <w:rPr>
          <w:rFonts w:ascii="仿宋" w:hAnsi="仿宋" w:eastAsia="仿宋"/>
          <w:b/>
          <w:bCs/>
          <w:sz w:val="32"/>
          <w:szCs w:val="32"/>
        </w:rPr>
      </w:pPr>
      <w:bookmarkStart w:id="0" w:name="bookmark22"/>
      <w:r>
        <w:rPr>
          <w:rFonts w:hint="eastAsia" w:ascii="仿宋_GB2312" w:hAnsi="仿宋_GB2312" w:eastAsia="仿宋_GB2312" w:cs="仿宋_GB2312"/>
          <w:b/>
          <w:bCs/>
          <w:sz w:val="32"/>
          <w:szCs w:val="32"/>
          <w:lang w:val="en-US" w:bidi="ar"/>
        </w:rPr>
        <w:t>10.第</w:t>
      </w:r>
      <w:r>
        <w:rPr>
          <w:rFonts w:ascii="仿宋" w:hAnsi="仿宋" w:eastAsia="仿宋"/>
          <w:b/>
          <w:bCs/>
          <w:sz w:val="32"/>
          <w:szCs w:val="32"/>
        </w:rPr>
        <w:t>十</w:t>
      </w:r>
      <w:r>
        <w:rPr>
          <w:rFonts w:hint="eastAsia" w:ascii="仿宋" w:hAnsi="仿宋" w:eastAsia="仿宋"/>
          <w:b/>
          <w:bCs/>
          <w:sz w:val="32"/>
          <w:szCs w:val="32"/>
          <w:lang w:val="en-US"/>
        </w:rPr>
        <w:t>一</w:t>
      </w:r>
      <w:r>
        <w:rPr>
          <w:rFonts w:ascii="仿宋" w:hAnsi="仿宋" w:eastAsia="仿宋"/>
          <w:b/>
          <w:bCs/>
          <w:sz w:val="32"/>
          <w:szCs w:val="32"/>
        </w:rPr>
        <w:t>小片区</w:t>
      </w:r>
      <w:r>
        <w:rPr>
          <w:rFonts w:hint="eastAsia" w:ascii="仿宋" w:hAnsi="仿宋" w:eastAsia="仿宋"/>
          <w:b/>
          <w:bCs/>
          <w:sz w:val="32"/>
          <w:szCs w:val="32"/>
          <w:lang w:val="en-US"/>
        </w:rPr>
        <w:t xml:space="preserve"> </w:t>
      </w:r>
    </w:p>
    <w:p>
      <w:pPr>
        <w:pStyle w:val="9"/>
        <w:spacing w:line="560" w:lineRule="exact"/>
        <w:ind w:firstLine="640" w:firstLineChars="200"/>
        <w:rPr>
          <w:rFonts w:hint="eastAsia" w:ascii="仿宋_GB2312" w:eastAsia="仿宋_GB2312"/>
          <w:sz w:val="32"/>
          <w:szCs w:val="32"/>
        </w:rPr>
      </w:pPr>
      <w:r>
        <w:rPr>
          <w:rFonts w:ascii="仿宋" w:hAnsi="仿宋" w:eastAsia="仿宋"/>
          <w:sz w:val="32"/>
          <w:szCs w:val="32"/>
        </w:rPr>
        <w:t>招收</w:t>
      </w:r>
      <w:r>
        <w:rPr>
          <w:rFonts w:hint="eastAsia" w:ascii="仿宋" w:hAnsi="仿宋" w:eastAsia="仿宋"/>
          <w:sz w:val="32"/>
          <w:szCs w:val="32"/>
        </w:rPr>
        <w:t>灵白街以东，健康路过东盛街接西平路以北，灵州大道以南，果园路接东盛街以西区域（包括枣园人家、灵州花园一、二期、花畔里小区等）</w:t>
      </w:r>
      <w:r>
        <w:rPr>
          <w:rFonts w:ascii="仿宋" w:hAnsi="仿宋" w:eastAsia="仿宋"/>
          <w:sz w:val="32"/>
          <w:szCs w:val="32"/>
        </w:rPr>
        <w:t>及周边小区的适龄儿童。</w:t>
      </w:r>
      <w:bookmarkEnd w:id="0"/>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11.市东塔小学片区</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（1）招收</w:t>
      </w:r>
      <w:r>
        <w:rPr>
          <w:rFonts w:hint="eastAsia" w:ascii="仿宋_GB2312" w:eastAsia="仿宋_GB2312"/>
          <w:sz w:val="32"/>
          <w:szCs w:val="32"/>
        </w:rPr>
        <w:t>居住在灵白街以东，南薰路以南等区域内（包括东塔家园、鹏程雅园、梨花苑A区等小区）的适龄儿童。</w:t>
      </w:r>
    </w:p>
    <w:p>
      <w:pPr>
        <w:pStyle w:val="5"/>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（2）招收现居住在东塔镇东塔村、果园村原属于东塔小学片区的适龄儿童。</w:t>
      </w:r>
    </w:p>
    <w:p>
      <w:pPr>
        <w:pStyle w:val="5"/>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（3）居住在民生家园的移民子女可就近选择到东塔第二小学就读。</w:t>
      </w:r>
    </w:p>
    <w:p>
      <w:pPr>
        <w:widowControl/>
        <w:shd w:val="clear" w:color="auto" w:fill="FFFFFF"/>
        <w:spacing w:line="560" w:lineRule="exact"/>
        <w:ind w:firstLine="640" w:firstLineChars="200"/>
        <w:rPr>
          <w:rFonts w:ascii="黑体" w:hAnsi="宋体" w:eastAsia="黑体" w:cs="宋体"/>
          <w:color w:val="333333"/>
          <w:kern w:val="0"/>
          <w:sz w:val="32"/>
          <w:szCs w:val="32"/>
        </w:rPr>
      </w:pPr>
      <w:r>
        <w:rPr>
          <w:rFonts w:hint="eastAsia" w:ascii="黑体" w:hAnsi="宋体" w:eastAsia="黑体" w:cs="宋体"/>
          <w:color w:val="333333"/>
          <w:kern w:val="0"/>
          <w:sz w:val="32"/>
          <w:szCs w:val="32"/>
        </w:rPr>
        <w:t>二、初中学校片区</w:t>
      </w:r>
    </w:p>
    <w:p>
      <w:pPr>
        <w:pStyle w:val="5"/>
        <w:spacing w:before="0" w:beforeAutospacing="0" w:after="0" w:afterAutospacing="0" w:line="560" w:lineRule="exact"/>
        <w:ind w:firstLine="643" w:firstLineChars="200"/>
        <w:jc w:val="both"/>
        <w:rPr>
          <w:rFonts w:hint="eastAsia" w:ascii="仿宋_GB2312" w:eastAsia="仿宋_GB2312"/>
          <w:b/>
          <w:sz w:val="32"/>
          <w:szCs w:val="32"/>
        </w:rPr>
      </w:pPr>
      <w:r>
        <w:rPr>
          <w:rFonts w:hint="eastAsia" w:ascii="仿宋_GB2312" w:eastAsia="仿宋_GB2312"/>
          <w:b/>
          <w:sz w:val="32"/>
          <w:szCs w:val="32"/>
        </w:rPr>
        <w:t>12.市二中片区</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（1）嘉源街以东，灵州大道以南，中兴街过灵州大道连东盛街以西，西平路接富兴街以西，黄河路以北区域（包括南苑AB区、鑫盛荣都，西湖人家、家和苑A区、同利家园小区等）</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（2）西昌街以东，嘉源街以西，西平路以南、南熏路以北区域。（包括宜合苑、上元名城B区、绿地壹号小区、西湖名邸B区小区等）。</w:t>
      </w:r>
    </w:p>
    <w:p>
      <w:pPr>
        <w:pStyle w:val="5"/>
        <w:spacing w:before="0" w:beforeAutospacing="0" w:after="0" w:afterAutospacing="0" w:line="560" w:lineRule="exact"/>
        <w:ind w:firstLine="640" w:firstLineChars="200"/>
        <w:jc w:val="both"/>
        <w:rPr>
          <w:rFonts w:hint="eastAsia" w:ascii="仿宋_GB2312" w:eastAsia="仿宋_GB2312"/>
          <w:b/>
          <w:sz w:val="32"/>
          <w:szCs w:val="32"/>
        </w:rPr>
      </w:pPr>
      <w:r>
        <w:rPr>
          <w:rFonts w:hint="eastAsia" w:ascii="仿宋_GB2312" w:eastAsia="仿宋_GB2312"/>
          <w:sz w:val="32"/>
          <w:szCs w:val="32"/>
        </w:rPr>
        <w:t>（3）西昌街以东，嘉源街以西，灵州大道以北，朔方路以南区域内的小学毕业生（包括</w:t>
      </w:r>
      <w:r>
        <w:rPr>
          <w:rFonts w:hint="eastAsia" w:ascii="仿宋_GB2312" w:hAnsi="Calibri" w:eastAsia="仿宋_GB2312" w:cs="Times New Roman"/>
          <w:kern w:val="2"/>
          <w:sz w:val="32"/>
          <w:szCs w:val="32"/>
        </w:rPr>
        <w:t>水木灵州四期五期、印象灵州小区、</w:t>
      </w:r>
      <w:r>
        <w:rPr>
          <w:rFonts w:hint="eastAsia" w:ascii="仿宋_GB2312" w:eastAsia="仿宋_GB2312"/>
          <w:sz w:val="32"/>
          <w:szCs w:val="32"/>
        </w:rPr>
        <w:t>明珠苑A、B、C区等小区）</w:t>
      </w:r>
      <w:r>
        <w:rPr>
          <w:rFonts w:hint="eastAsia" w:ascii="仿宋_GB2312" w:eastAsia="仿宋_GB2312"/>
          <w:b/>
          <w:sz w:val="32"/>
          <w:szCs w:val="32"/>
        </w:rPr>
        <w:t>。</w:t>
      </w:r>
    </w:p>
    <w:p>
      <w:pPr>
        <w:pStyle w:val="5"/>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13.市三中片区</w:t>
      </w:r>
    </w:p>
    <w:p>
      <w:pPr>
        <w:pStyle w:val="5"/>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（1）招收白土岗乡、马家滩镇、临河镇、原大泉乡等区域内小学毕业生。</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（2）中兴街以东，灵港路以西，大河路以南，灵州大道以北（包括林秀苑AB区小区等）小学毕业生。</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（3）东盛街以东，秦渠以西，西平路以北三角区域(含花畔里、灵州花园等小区) 小学毕业生。</w:t>
      </w:r>
    </w:p>
    <w:p>
      <w:pPr>
        <w:spacing w:line="560" w:lineRule="exact"/>
        <w:ind w:firstLine="640" w:firstLineChars="200"/>
        <w:rPr>
          <w:rFonts w:hint="eastAsia" w:ascii="仿宋_GB2312" w:hAnsi="宋体" w:eastAsia="仿宋_GB2312" w:cs="宋体"/>
          <w:color w:val="000000"/>
          <w:sz w:val="32"/>
          <w:szCs w:val="32"/>
        </w:rPr>
      </w:pPr>
      <w:r>
        <w:rPr>
          <w:rFonts w:hint="eastAsia" w:ascii="仿宋_GB2312" w:eastAsia="仿宋_GB2312"/>
          <w:sz w:val="32"/>
          <w:szCs w:val="32"/>
        </w:rPr>
        <w:t>（4）市三小、市六小（属市三中片区）的小学毕业生符合入学条件的可对口升市三中。</w:t>
      </w:r>
    </w:p>
    <w:p>
      <w:pPr>
        <w:pStyle w:val="5"/>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14.市四中片区</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（1）西昌街以东，嘉源街以西，灵州大道以南，西平路以北区域内的小学毕业生（包括水木灵州一至三期、六至八期等小区）。</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（2）西昌街以东，嘉源街以西，南薰路以南，镇河路以北区域内的小学毕业生（包括龙凤家园、上元名城A区等小区）。</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（3）银昆高速以东，西昌街以西，西平路以北区域内的小学毕业生（包括盛世灵州、</w:t>
      </w:r>
      <w:r>
        <w:rPr>
          <w:rFonts w:hint="eastAsia" w:ascii="仿宋_GB2312" w:hAnsi="Calibri" w:eastAsia="仿宋_GB2312" w:cs="Times New Roman"/>
          <w:kern w:val="2"/>
          <w:sz w:val="32"/>
          <w:szCs w:val="32"/>
        </w:rPr>
        <w:t>盛世家园</w:t>
      </w:r>
      <w:r>
        <w:rPr>
          <w:rFonts w:hint="eastAsia" w:ascii="仿宋_GB2312" w:eastAsia="仿宋_GB2312"/>
          <w:sz w:val="32"/>
          <w:szCs w:val="32"/>
        </w:rPr>
        <w:t>及周边等小区）。</w:t>
      </w:r>
    </w:p>
    <w:p>
      <w:pPr>
        <w:pStyle w:val="5"/>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（4）招收农场小学片区内的小学毕业生。市五小和农场小学符合入学条件的可对口升市四中。</w:t>
      </w:r>
    </w:p>
    <w:p>
      <w:pPr>
        <w:spacing w:line="560" w:lineRule="exact"/>
        <w:ind w:firstLine="643" w:firstLineChars="200"/>
        <w:rPr>
          <w:rFonts w:ascii="仿宋_GB2312" w:eastAsia="仿宋_GB2312"/>
          <w:b/>
          <w:sz w:val="32"/>
          <w:szCs w:val="32"/>
        </w:rPr>
      </w:pPr>
      <w:r>
        <w:rPr>
          <w:rFonts w:hint="eastAsia" w:ascii="仿宋_GB2312" w:eastAsia="仿宋_GB2312"/>
          <w:b/>
          <w:color w:val="000000"/>
          <w:sz w:val="32"/>
          <w:szCs w:val="32"/>
        </w:rPr>
        <w:t>15.</w:t>
      </w:r>
      <w:r>
        <w:rPr>
          <w:rFonts w:hint="eastAsia" w:ascii="仿宋_GB2312" w:eastAsia="仿宋_GB2312"/>
          <w:b/>
          <w:sz w:val="32"/>
          <w:szCs w:val="32"/>
        </w:rPr>
        <w:t>市五中片区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（1）富兴街以东，秦渠以西，西平路以南，黄河以路北区域的小学毕业生。</w:t>
      </w:r>
    </w:p>
    <w:p>
      <w:pPr>
        <w:spacing w:line="560" w:lineRule="exact"/>
        <w:ind w:firstLine="640" w:firstLineChars="200"/>
        <w:rPr>
          <w:rFonts w:ascii="仿宋_GB2312" w:hAnsi="宋体" w:eastAsia="仿宋_GB2312" w:cs="宋体"/>
          <w:color w:val="000000"/>
          <w:sz w:val="32"/>
          <w:szCs w:val="32"/>
        </w:rPr>
      </w:pPr>
      <w:r>
        <w:rPr>
          <w:rFonts w:hint="eastAsia" w:ascii="仿宋_GB2312" w:eastAsia="仿宋_GB2312"/>
          <w:sz w:val="32"/>
          <w:szCs w:val="32"/>
        </w:rPr>
        <w:t>（2）招收市一小和市六小部分（属市五中片区）、东塔小学、东塔第二小学的小学毕业生符合入学条件的可对口直升市五中。</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sz w:val="32"/>
          <w:szCs w:val="32"/>
        </w:rPr>
        <w:t>16. 市第六中学：</w:t>
      </w:r>
      <w:r>
        <w:rPr>
          <w:rFonts w:hint="eastAsia" w:ascii="仿宋_GB2312" w:eastAsia="仿宋_GB2312"/>
          <w:color w:val="000000"/>
          <w:sz w:val="32"/>
          <w:szCs w:val="32"/>
        </w:rPr>
        <w:t>依据相关政策面向全市范围自主报名公开摇号招生。</w:t>
      </w:r>
    </w:p>
    <w:p>
      <w:pPr>
        <w:pStyle w:val="5"/>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eastAsia="仿宋_GB2312"/>
          <w:b/>
          <w:sz w:val="32"/>
          <w:szCs w:val="32"/>
        </w:rPr>
        <w:t>17.</w:t>
      </w:r>
      <w:r>
        <w:rPr>
          <w:rFonts w:hint="eastAsia" w:ascii="仿宋_GB2312" w:eastAsia="仿宋_GB2312"/>
          <w:sz w:val="32"/>
          <w:szCs w:val="32"/>
        </w:rPr>
        <w:t xml:space="preserve"> </w:t>
      </w:r>
      <w:r>
        <w:rPr>
          <w:rFonts w:hint="eastAsia" w:ascii="仿宋_GB2312" w:eastAsia="仿宋_GB2312"/>
          <w:b/>
          <w:color w:val="000000"/>
          <w:sz w:val="32"/>
          <w:szCs w:val="32"/>
        </w:rPr>
        <w:t>市第八中学片区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招收</w:t>
      </w:r>
      <w:r>
        <w:rPr>
          <w:rFonts w:hint="eastAsia" w:ascii="仿宋_GB2312" w:eastAsia="仿宋_GB2312"/>
          <w:color w:val="000000"/>
          <w:sz w:val="32"/>
          <w:szCs w:val="32"/>
        </w:rPr>
        <w:t>崇兴镇、郝家桥镇各小学初中毕业生。崇兴小学、崇兴第二小学、崇兴第三小学、郝家桥小学、郝家桥第二小学毕业生可对口直升市第八中学。原大泉乡的部分小学毕业生也可以根据家庭实际选择到市第八中学就读。</w:t>
      </w:r>
    </w:p>
    <w:p>
      <w:pPr>
        <w:pStyle w:val="5"/>
        <w:spacing w:before="0" w:beforeAutospacing="0" w:after="0" w:afterAutospacing="0" w:line="560" w:lineRule="exact"/>
        <w:ind w:firstLine="643" w:firstLineChars="200"/>
        <w:jc w:val="both"/>
        <w:rPr>
          <w:rFonts w:hint="eastAsia" w:ascii="仿宋_GB2312" w:eastAsia="仿宋_GB2312"/>
          <w:b/>
          <w:sz w:val="32"/>
          <w:szCs w:val="32"/>
        </w:rPr>
      </w:pPr>
      <w:r>
        <w:rPr>
          <w:rFonts w:hint="eastAsia" w:ascii="仿宋_GB2312" w:eastAsia="仿宋_GB2312"/>
          <w:b/>
          <w:sz w:val="32"/>
          <w:szCs w:val="32"/>
        </w:rPr>
        <w:t>18.市狼皮子梁学校初中部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招收原狼皮子梁乡各村小学毕业生。狼皮子梁学校小学部六年级毕业生、燕宝小学毕业生可对口直接升入狼皮子梁学校初中部。泾兴小学的毕业生也可以根据意愿选择在狼皮子梁学校初中部就读。</w:t>
      </w:r>
    </w:p>
    <w:p>
      <w:pPr>
        <w:pStyle w:val="6"/>
        <w:spacing w:line="560" w:lineRule="exact"/>
        <w:ind w:left="199" w:leftChars="95" w:firstLine="418" w:firstLineChars="130"/>
        <w:rPr>
          <w:rFonts w:hint="eastAsia" w:ascii="仿宋_GB2312" w:eastAsia="仿宋_GB2312"/>
          <w:sz w:val="32"/>
          <w:szCs w:val="32"/>
        </w:rPr>
      </w:pPr>
      <w:r>
        <w:rPr>
          <w:rFonts w:hint="eastAsia" w:ascii="仿宋_GB2312" w:hAnsi="宋体" w:eastAsia="仿宋_GB2312" w:cs="宋体"/>
          <w:b/>
          <w:color w:val="333333"/>
          <w:kern w:val="0"/>
          <w:sz w:val="32"/>
          <w:szCs w:val="32"/>
        </w:rPr>
        <w:t>18.其他农村各中小学执行原有片区划分范围。</w:t>
      </w:r>
    </w:p>
    <w:p>
      <w:pPr>
        <w:widowControl/>
        <w:spacing w:line="560" w:lineRule="exact"/>
        <w:ind w:firstLine="640" w:firstLineChars="200"/>
        <w:jc w:val="left"/>
        <w:rPr>
          <w:rFonts w:hint="eastAsia" w:ascii="仿宋_GB2312" w:eastAsia="仿宋_GB2312"/>
          <w:color w:val="000000"/>
          <w:sz w:val="32"/>
          <w:szCs w:val="32"/>
        </w:rPr>
      </w:pPr>
      <w:r>
        <w:rPr>
          <w:rFonts w:ascii="仿宋_GB2312" w:eastAsia="仿宋_GB2312"/>
          <w:color w:val="000000"/>
          <w:sz w:val="32"/>
          <w:szCs w:val="32"/>
        </w:rPr>
        <w:t>说明：片区边界的街（巷）如无另外说明，均以街（巷）的中轴线为准来确定以南、以北或以东、以西。</w:t>
      </w: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pPr>
        <w:pStyle w:val="5"/>
        <w:spacing w:before="0" w:beforeAutospacing="0" w:after="0" w:afterAutospacing="0" w:line="520" w:lineRule="exact"/>
        <w:rPr>
          <w:rFonts w:hint="eastAsia" w:ascii="仿宋_GB2312" w:eastAsia="仿宋_GB2312"/>
          <w:color w:val="333333"/>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5DC3B-DF7B-4766-B74C-D983474F74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E651D1-EC30-419C-A2E1-CCA620DEB6C3}"/>
  </w:font>
  <w:font w:name="仿宋_GB2312">
    <w:panose1 w:val="02010609030101010101"/>
    <w:charset w:val="86"/>
    <w:family w:val="modern"/>
    <w:pitch w:val="default"/>
    <w:sig w:usb0="00000001" w:usb1="080E0000" w:usb2="00000000" w:usb3="00000000" w:csb0="00040000" w:csb1="00000000"/>
    <w:embedRegular r:id="rId3" w:fontKey="{63ECCCC8-B33B-4AD3-8B2A-8511823EB703}"/>
  </w:font>
  <w:font w:name="方正小标宋简体">
    <w:panose1 w:val="02000000000000000000"/>
    <w:charset w:val="86"/>
    <w:family w:val="auto"/>
    <w:pitch w:val="default"/>
    <w:sig w:usb0="00000001" w:usb1="080E0000" w:usb2="00000000" w:usb3="00000000" w:csb0="00040000" w:csb1="00000000"/>
    <w:embedRegular r:id="rId4" w:fontKey="{AB34FFE7-0DC0-482D-8C48-081EE1D4864F}"/>
  </w:font>
  <w:font w:name="仿宋">
    <w:panose1 w:val="02010609060101010101"/>
    <w:charset w:val="86"/>
    <w:family w:val="modern"/>
    <w:pitch w:val="default"/>
    <w:sig w:usb0="800002BF" w:usb1="38CF7CFA" w:usb2="00000016" w:usb3="00000000" w:csb0="00040001" w:csb1="00000000"/>
    <w:embedRegular r:id="rId5" w:fontKey="{35B4686B-8DC1-47D1-9D35-5C7B5A2076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mYzZTU4YzgwYjAzYjYwOTg4OTMwZDliMzdlODUifQ=="/>
  </w:docVars>
  <w:rsids>
    <w:rsidRoot w:val="2A136319"/>
    <w:rsid w:val="2A13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3"/>
    <w:qFormat/>
    <w:uiPriority w:val="0"/>
    <w:pPr>
      <w:keepNext w:val="0"/>
      <w:keepLines w:val="0"/>
      <w:widowControl/>
      <w:spacing w:before="0" w:after="0" w:line="413" w:lineRule="auto"/>
      <w:jc w:val="left"/>
    </w:pPr>
    <w:rPr>
      <w:rFonts w:ascii="宋体" w:hAnsi="宋体" w:eastAsia="黑体"/>
      <w:b w:val="0"/>
      <w:bCs w:val="0"/>
      <w:kern w:val="0"/>
      <w:sz w:val="28"/>
      <w:szCs w:val="28"/>
    </w:rPr>
  </w:style>
  <w:style w:type="paragraph" w:styleId="4">
    <w:name w:val="Body Text Indent"/>
    <w:basedOn w:val="1"/>
    <w:qFormat/>
    <w:uiPriority w:val="0"/>
    <w:pPr>
      <w:ind w:firstLine="6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4"/>
    <w:qFormat/>
    <w:uiPriority w:val="0"/>
    <w:pPr>
      <w:spacing w:after="120"/>
      <w:ind w:left="200" w:leftChars="200" w:firstLine="420" w:firstLineChars="200"/>
    </w:pPr>
    <w:rPr>
      <w:rFonts w:ascii="Times New Roman"/>
    </w:rPr>
  </w:style>
  <w:style w:type="paragraph" w:customStyle="1" w:styleId="9">
    <w:name w:val="Body text|1"/>
    <w:basedOn w:val="1"/>
    <w:qFormat/>
    <w:uiPriority w:val="0"/>
    <w:pPr>
      <w:widowControl w:val="0"/>
      <w:shd w:val="clear" w:color="auto" w:fill="auto"/>
      <w:spacing w:line="403"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2371</Words>
  <Characters>2419</Characters>
  <Lines>0</Lines>
  <Paragraphs>0</Paragraphs>
  <TotalTime>0</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2023-07-12T03:47:00Z</dcterms:created>
  <dc:creator>张涛</dc:creator>
  <cp:lastModifiedBy>张涛</cp:lastModifiedBy>
  <dcterms:modified xsi:type="dcterms:W3CDTF">2023-07-12T03:47:54Z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256A711979A049EE9E5B7A17D14685A0_11</vt:lpwstr>
  </property>
</Properties>
</file>